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2024年油茶产业发展专项资金绩效目标汇总表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配套支持中央财政国土绿化试点示范项目、中央财政油茶产业发展示范奖补项目建设，其中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年，支持中央财政油茶示范奖补项目，新造优质高效油茶18500亩，提质改造低产林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27100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亩；续建7个油茶果处理中心；完成1家油茶精深加工和副产品综合利用能力提升；完成10家油茶初加工中心；续建8个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油茶三产融合示范园；持续打造“衡阳茶油”公共品牌；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续建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油茶产品质量检验检测中心、技术培训中心、产学研平台、技术推广服务中心和油茶专业服务队伍。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中央项目市级配套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2024年油茶产业发展专项资金支出方向绩效目标表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238"/>
        <w:gridCol w:w="1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油茶产业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油茶产业发展专项资金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衡阳市林业局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配套支持中央财政国土绿化试点示范项目、中央财政油茶产业发展示范奖补项目建设，其中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eastAsia="zh-CN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年，支持中央财政油茶示范奖补项目，新造优质高效油茶18500亩，提质改造低产林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27100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亩；续建7个油茶果处理中心；完成1家油茶精深加工和副产品综合利用能力提升；完成10家油茶初加工中心；续建8个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油茶三产融合示范园；持续打造“衡阳茶油”公共品牌；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-US" w:eastAsia="zh-CN"/>
              </w:rPr>
              <w:t>续建</w:t>
            </w:r>
            <w:r>
              <w:rPr>
                <w:rFonts w:hint="eastAsia" w:ascii="方正仿宋_GBK" w:hAnsi="方正仿宋_GBK" w:eastAsia="方正仿宋_GBK" w:cs="方正仿宋_GBK"/>
                <w:sz w:val="21"/>
                <w:szCs w:val="21"/>
                <w:lang w:val="en" w:eastAsia="zh-CN"/>
              </w:rPr>
              <w:t>油茶产品质量检验检测中心、技术培训中心、产学研平台、技术推广服务中心和油茶专业服务队伍。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新造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18500亩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低改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27100亩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精深加工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初加工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1"/>
                <w:szCs w:val="21"/>
              </w:rPr>
              <w:t>符合相关技术规程标准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1"/>
                <w:szCs w:val="21"/>
              </w:rPr>
              <w:t>≥85%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完成率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中央项目市级配套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2000万元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  <w:bookmarkStart w:id="0" w:name="_GoBack"/>
            <w:bookmarkEnd w:id="0"/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是否有利于增加油茶产业面积、产值、产量。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是否提供就业岗位、带动劳动力就业、助力乡村振兴。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是否增加我市国土绿化面积。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9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对油茶产业资金支持力度、覆盖范围的满意率。</w:t>
            </w:r>
          </w:p>
        </w:tc>
        <w:tc>
          <w:tcPr>
            <w:tcW w:w="15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 w:val="21"/>
                <w:szCs w:val="21"/>
              </w:rPr>
            </w:pPr>
          </w:p>
          <w:p>
            <w:pPr>
              <w:pStyle w:val="2"/>
              <w:spacing w:line="320" w:lineRule="exact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kNGYxOTE0NmZhMmU0MjFhYTczZTk5MjA5YTA3YjMifQ=="/>
  </w:docVars>
  <w:rsids>
    <w:rsidRoot w:val="793449DB"/>
    <w:rsid w:val="1A384E85"/>
    <w:rsid w:val="2B532981"/>
    <w:rsid w:val="32A63574"/>
    <w:rsid w:val="3A691A10"/>
    <w:rsid w:val="3EF7C473"/>
    <w:rsid w:val="4A99652F"/>
    <w:rsid w:val="56F46B8E"/>
    <w:rsid w:val="5A994D0A"/>
    <w:rsid w:val="6AFD139A"/>
    <w:rsid w:val="71C67E3C"/>
    <w:rsid w:val="72294348"/>
    <w:rsid w:val="7934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7</TotalTime>
  <ScaleCrop>false</ScaleCrop>
  <LinksUpToDate>false</LinksUpToDate>
  <CharactersWithSpaces>321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2023-01-06T23:43:00Z</dcterms:created>
  <dc:creator>123</dc:creator>
  <cp:lastModifiedBy>陈颖</cp:lastModifiedBy>
  <dcterms:modified xsi:type="dcterms:W3CDTF">2024-01-10T02:42:55Z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291468F4BDDC4996AE93D418C1FEE417</vt:lpwstr>
  </property>
</Properties>
</file>